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cfdfe" w:val="clear"/>
        <w:spacing w:after="200" w:line="253.00050000000002" w:lineRule="auto"/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NOTIFICACIÓN DE RESOLUCIÓN POR EDICTOS:</w:t>
      </w:r>
    </w:p>
    <w:p w:rsidR="00000000" w:rsidDel="00000000" w:rsidP="00000000" w:rsidRDefault="00000000" w:rsidRPr="00000000" w14:paraId="00000002">
      <w:pPr>
        <w:shd w:fill="fcfdfe" w:val="clear"/>
        <w:spacing w:after="200" w:line="253.00050000000002" w:lineRule="auto"/>
        <w:jc w:val="center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 Intendencia Departamental de Maldonado notifica a la empresa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shd w:fill="f4f4f4" w:val="clear"/>
          <w:rtl w:val="0"/>
        </w:rPr>
        <w:t xml:space="preserve">SILVA DE LEON, MARCELO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RUT 100355590014 la Resolución 11219/2023 de la Dirección General de Hacienda dictada en el expediente administrativo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2011-88-01-03176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al amparo de lo dispuesto por el art. 51 del Código Tributario y demás normas concordantes y complementarias.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cfdfe" w:val="clear"/>
        <w:spacing w:after="200" w:line="253.00050000000002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hd w:fill="fcfdfe" w:val="clear"/>
        <w:spacing w:after="200" w:line="253.00050000000002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I)En Maldonado, dispónese el inicio de acciones judiciales contra la empresa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shd w:fill="f4f4f4" w:val="clear"/>
          <w:rtl w:val="0"/>
        </w:rPr>
        <w:t xml:space="preserve">SILVA DE LEON, MARCELO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, por la deuda que por concepto de canones impagos relacionados a la Licitación Pública N°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L.A. 44/2005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; generada por el período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2008/2009, 2009/2010 y 2010/2011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por la suma de $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984.763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, cuyo detalle surge de la actuación 39, y que forma parte de la presente resolución, hasta su efectiva satisfacción.  II)Notifíquese a los interesados.</w:t>
      </w:r>
    </w:p>
    <w:p w:rsidR="00000000" w:rsidDel="00000000" w:rsidP="00000000" w:rsidRDefault="00000000" w:rsidRPr="00000000" w14:paraId="00000005">
      <w:pPr>
        <w:shd w:fill="fcfdfe" w:val="clear"/>
        <w:spacing w:after="200" w:line="253.00050000000002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hd w:fill="fcfdfe" w:val="clear"/>
        <w:spacing w:after="200" w:line="253.00050000000002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 presente notificación se realiza a los efectos de que el interesado concurra a notificarse en la oficina dentro del plazo de 10 días corridos a contar desde el siguiente al de la última publicación, bajo apercibimiento de darlo por notificado, al amparo del artículo 51° del Código Tributario y Digesto Departamental de Maldonado. El mencionado expediente se encuentra disponible en la Dirección General de Hacienda de la Intendencia (4°PISO A) en el horario de 9.15 a 14.45.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